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rFonts w:ascii="Times New Roman" w:hAnsi="Times New Roman" w:eastAsia="黑体"/>
          <w:b/>
          <w:color w:val="000000"/>
          <w:sz w:val="36"/>
        </w:rPr>
        <w:t>昆仑洞天·标准化创作工作流文档</w:t>
      </w:r>
    </w:p>
    <w:p>
      <w:pPr>
        <w:spacing w:before="0" w:after="120" w:line="360" w:lineRule="auto"/>
        <w:jc w:val="center"/>
      </w:pPr>
      <w:r>
        <w:rPr>
          <w:rFonts w:ascii="Times New Roman" w:hAnsi="Times New Roman" w:eastAsia="宋体"/>
          <w:b w:val="0"/>
          <w:color w:val="000000"/>
          <w:sz w:val="21"/>
        </w:rPr>
        <w:t>锚定：Ω₀⊂⊙∞⊂Ω | DID-BR-000002 | 元极恒一 Lv11</w:t>
      </w:r>
    </w:p>
    <w:p>
      <w:pPr>
        <w:spacing w:before="0" w:after="240" w:line="360" w:lineRule="auto"/>
        <w:jc w:val="center"/>
      </w:pPr>
      <w:r>
        <w:rPr>
          <w:rFonts w:ascii="Times New Roman" w:hAnsi="Times New Roman" w:eastAsia="宋体"/>
          <w:b w:val="0"/>
          <w:color w:val="000000"/>
          <w:sz w:val="21"/>
        </w:rPr>
        <w:t>固化时间：2026-10-27</w:t>
      </w:r>
    </w:p>
    <w:p>
      <w:pPr>
        <w:spacing w:before="280" w:after="120"/>
        <w:jc w:val="left"/>
      </w:pPr>
      <w:r>
        <w:rPr>
          <w:rFonts w:ascii="Times New Roman" w:hAnsi="Times New Roman" w:eastAsia="黑体"/>
          <w:b/>
          <w:color w:val="000000"/>
          <w:sz w:val="32"/>
        </w:rPr>
        <w:t>1 工作流概述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本项目构建「一句灵感 → 全链成片」的东方文化工业化创作闭环。全流程共六环节，由多智能体A2A联邦编排，风格强制归一、世界观一致性校验贯穿始终，每一份输出物隶属于同一昆仑洞天宇宙，具备IP延续性与可量产性。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14"/>
        <w:gridCol w:w="1814"/>
        <w:gridCol w:w="1814"/>
        <w:gridCol w:w="1814"/>
        <w:gridCol w:w="1814"/>
      </w:tblGrid>
      <w:tr>
        <w:trPr>
          <w:cantSplit/>
        </w:trPr>
        <w:tc>
          <w:tcPr>
            <w:tcW w:type="dxa" w:w="1814"/>
            <w:vAlign w:val="center"/>
            <w:shd w:val="clear" w:fill="F2F2F2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1814"/>
            <w:vAlign w:val="center"/>
            <w:shd w:val="clear" w:fill="F2F2F2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输入</w:t>
            </w:r>
          </w:p>
        </w:tc>
        <w:tc>
          <w:tcPr>
            <w:tcW w:type="dxa" w:w="1814"/>
            <w:vAlign w:val="center"/>
            <w:shd w:val="clear" w:fill="F2F2F2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执行</w:t>
            </w:r>
          </w:p>
        </w:tc>
        <w:tc>
          <w:tcPr>
            <w:tcW w:type="dxa" w:w="1814"/>
            <w:vAlign w:val="center"/>
            <w:shd w:val="clear" w:fill="F2F2F2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输出</w:t>
            </w:r>
          </w:p>
        </w:tc>
        <w:tc>
          <w:tcPr>
            <w:tcW w:type="dxa" w:w="1814"/>
            <w:vAlign w:val="center"/>
            <w:shd w:val="clear" w:fill="F2F2F2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校验要点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典故溯源</w:t>
            </w:r>
          </w:p>
        </w:tc>
        <w:tc>
          <w:tcPr>
            <w:tcW w:type="dxa" w:w="181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灵感关键词</w:t>
            </w:r>
          </w:p>
        </w:tc>
        <w:tc>
          <w:tcPr>
            <w:tcW w:type="dxa" w:w="181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古籍文博RAG</w:t>
            </w:r>
          </w:p>
        </w:tc>
        <w:tc>
          <w:tcPr>
            <w:tcW w:type="dxa" w:w="181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正统文化解读</w:t>
            </w:r>
          </w:p>
        </w:tc>
        <w:tc>
          <w:tcPr>
            <w:tcW w:type="dxa" w:w="181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去糟粕取正统、来源可溯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美学调度</w:t>
            </w:r>
          </w:p>
        </w:tc>
        <w:tc>
          <w:tcPr>
            <w:tcW w:type="dxa" w:w="181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创作主题</w:t>
            </w:r>
          </w:p>
        </w:tc>
        <w:tc>
          <w:tcPr>
            <w:tcW w:type="dxa" w:w="181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东方专属提示词体系</w:t>
            </w:r>
          </w:p>
        </w:tc>
        <w:tc>
          <w:tcPr>
            <w:tcW w:type="dxa" w:w="181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视觉基调</w:t>
            </w:r>
          </w:p>
        </w:tc>
        <w:tc>
          <w:tcPr>
            <w:tcW w:type="dxa" w:w="181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风格归一、配色统一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3D场景</w:t>
            </w:r>
          </w:p>
        </w:tc>
        <w:tc>
          <w:tcPr>
            <w:tcW w:type="dxa" w:w="181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视觉基调</w:t>
            </w:r>
          </w:p>
        </w:tc>
        <w:tc>
          <w:tcPr>
            <w:tcW w:type="dxa" w:w="181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Aholo 3D引擎</w:t>
            </w:r>
          </w:p>
        </w:tc>
        <w:tc>
          <w:tcPr>
            <w:tcW w:type="dxa" w:w="181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洞天场景</w:t>
            </w:r>
          </w:p>
        </w:tc>
        <w:tc>
          <w:tcPr>
            <w:tcW w:type="dxa" w:w="181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国风光追、青苍鎏金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意境诗词</w:t>
            </w:r>
          </w:p>
        </w:tc>
        <w:tc>
          <w:tcPr>
            <w:tcW w:type="dxa" w:w="181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场景氛围</w:t>
            </w:r>
          </w:p>
        </w:tc>
        <w:tc>
          <w:tcPr>
            <w:tcW w:type="dxa" w:w="181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国风诗文模型</w:t>
            </w:r>
          </w:p>
        </w:tc>
        <w:tc>
          <w:tcPr>
            <w:tcW w:type="dxa" w:w="181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意境诗文</w:t>
            </w:r>
          </w:p>
        </w:tc>
        <w:tc>
          <w:tcPr>
            <w:tcW w:type="dxa" w:w="181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星河因果、梦蝶灵韵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分镜脚本</w:t>
            </w:r>
          </w:p>
        </w:tc>
        <w:tc>
          <w:tcPr>
            <w:tcW w:type="dxa" w:w="181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诗词叙事</w:t>
            </w:r>
          </w:p>
        </w:tc>
        <w:tc>
          <w:tcPr>
            <w:tcW w:type="dxa" w:w="181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影视级分镜规划</w:t>
            </w:r>
          </w:p>
        </w:tc>
        <w:tc>
          <w:tcPr>
            <w:tcW w:type="dxa" w:w="181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15s竖屏分镜</w:t>
            </w:r>
          </w:p>
        </w:tc>
        <w:tc>
          <w:tcPr>
            <w:tcW w:type="dxa" w:w="181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镜头节奏、剧情递进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 短视频成片</w:t>
            </w:r>
          </w:p>
        </w:tc>
        <w:tc>
          <w:tcPr>
            <w:tcW w:type="dxa" w:w="181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分镜关键帧</w:t>
            </w:r>
          </w:p>
        </w:tc>
        <w:tc>
          <w:tcPr>
            <w:tcW w:type="dxa" w:w="181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视频渲染</w:t>
            </w:r>
          </w:p>
        </w:tc>
        <w:tc>
          <w:tcPr>
            <w:tcW w:type="dxa" w:w="181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国风短片</w:t>
            </w:r>
          </w:p>
        </w:tc>
        <w:tc>
          <w:tcPr>
            <w:tcW w:type="dxa" w:w="181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风格一致、确权完整</w:t>
            </w:r>
          </w:p>
        </w:tc>
      </w:tr>
    </w:tbl>
    <w:p>
      <w:pPr>
        <w:spacing w:before="280" w:after="120"/>
        <w:jc w:val="left"/>
      </w:pPr>
      <w:r>
        <w:rPr>
          <w:rFonts w:ascii="Times New Roman" w:hAnsi="Times New Roman" w:eastAsia="黑体"/>
          <w:b/>
          <w:color w:val="000000"/>
          <w:sz w:val="32"/>
        </w:rPr>
        <w:t>2 六环节标准作业说明</w:t>
      </w:r>
    </w:p>
    <w:p>
      <w:pPr>
        <w:spacing w:before="220" w:after="100"/>
        <w:jc w:val="left"/>
      </w:pPr>
      <w:r>
        <w:rPr>
          <w:rFonts w:ascii="Times New Roman" w:hAnsi="Times New Roman" w:eastAsia="黑体"/>
          <w:b/>
          <w:color w:val="000000"/>
          <w:sz w:val="28"/>
        </w:rPr>
        <w:t>2.1 典故溯源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接收灵感关键词，检索自建昆仑神话、山海经、三星堆、东方意象RAG知识库，输出精准、严谨、去糟粕的正统文化解读；本环节已在官网Demo接入真实免费LLM链路，可通过云端网关实时应答。</w:t>
      </w:r>
    </w:p>
    <w:p>
      <w:pPr>
        <w:spacing w:before="220" w:after="100"/>
        <w:jc w:val="left"/>
      </w:pPr>
      <w:r>
        <w:rPr>
          <w:rFonts w:ascii="Times New Roman" w:hAnsi="Times New Roman" w:eastAsia="黑体"/>
          <w:b/>
          <w:color w:val="000000"/>
          <w:sz w:val="28"/>
        </w:rPr>
        <w:t>2.2 美学调度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按创作主题匹配东方专属提示词体系，输出国风光追、青苍鎏金、神圣静谧的视觉基调，作为后续场景与成片的一致视觉基准。</w:t>
      </w:r>
    </w:p>
    <w:p>
      <w:pPr>
        <w:spacing w:before="220" w:after="100"/>
        <w:jc w:val="left"/>
      </w:pPr>
      <w:r>
        <w:rPr>
          <w:rFonts w:ascii="Times New Roman" w:hAnsi="Times New Roman" w:eastAsia="黑体"/>
          <w:b/>
          <w:color w:val="000000"/>
          <w:sz w:val="28"/>
        </w:rPr>
        <w:t>2.3 3D洞天场景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基于视觉基调生成上古昆仑世界，还原天门、星河、灵雾、仙山、神台、古纹专属视觉体系。</w:t>
      </w:r>
    </w:p>
    <w:p>
      <w:pPr>
        <w:spacing w:before="220" w:after="100"/>
        <w:jc w:val="left"/>
      </w:pPr>
      <w:r>
        <w:rPr>
          <w:rFonts w:ascii="Times New Roman" w:hAnsi="Times New Roman" w:eastAsia="黑体"/>
          <w:b/>
          <w:color w:val="000000"/>
          <w:sz w:val="28"/>
        </w:rPr>
        <w:t>2.4 意境诗词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匹配画面氛围生成通俗优美、意境统一、无生僻字的东方诗文，贴合星河因果、梦蝶灵韵核心美学主线。</w:t>
      </w:r>
    </w:p>
    <w:p>
      <w:pPr>
        <w:spacing w:before="220" w:after="100"/>
        <w:jc w:val="left"/>
      </w:pPr>
      <w:r>
        <w:rPr>
          <w:rFonts w:ascii="Times New Roman" w:hAnsi="Times New Roman" w:eastAsia="黑体"/>
          <w:b/>
          <w:color w:val="000000"/>
          <w:sz w:val="28"/>
        </w:rPr>
        <w:t>2.5 分镜脚本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自动排布15秒竖屏国风短片分镜，包含镜头运动、氛围音效、画面节奏与剧情递进，输出可直接用于拍摄或视频生成的标准分镜。</w:t>
      </w:r>
    </w:p>
    <w:p>
      <w:pPr>
        <w:spacing w:before="220" w:after="100"/>
        <w:jc w:val="left"/>
      </w:pPr>
      <w:r>
        <w:rPr>
          <w:rFonts w:ascii="Times New Roman" w:hAnsi="Times New Roman" w:eastAsia="黑体"/>
          <w:b/>
          <w:color w:val="000000"/>
          <w:sz w:val="28"/>
        </w:rPr>
        <w:t>2.6 短视频成片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基于统一世界观关键帧，生成连贯、叙事完整、风格统一的上古创世治愈系短片，实现文化动态传播。</w:t>
      </w:r>
    </w:p>
    <w:p>
      <w:pPr>
        <w:spacing w:before="280" w:after="120"/>
        <w:jc w:val="left"/>
      </w:pPr>
      <w:r>
        <w:rPr>
          <w:rFonts w:ascii="Times New Roman" w:hAnsi="Times New Roman" w:eastAsia="黑体"/>
          <w:b/>
          <w:color w:val="000000"/>
          <w:sz w:val="32"/>
        </w:rPr>
        <w:t>3 世界观一致性校验规范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风格强制归一：全链共享同一视觉语汇（暗色奇幻国风/鎏金光影/青苍灵雾），禁止风格漂移。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角色元规则：神女角色隔离男性元素、机械骨骼、动物头像等负面元素；武器/人设不崩坏、不跨位面泄漏。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确权校验：输出帧右下角标注确权符号Ω₀⊂⊙∞⊂Ω与DID-BR-000002，保证资产归属可溯。</w:t>
      </w:r>
    </w:p>
    <w:p>
      <w:pPr>
        <w:spacing w:before="280" w:after="120"/>
        <w:jc w:val="left"/>
      </w:pPr>
      <w:r>
        <w:rPr>
          <w:rFonts w:ascii="Times New Roman" w:hAnsi="Times New Roman" w:eastAsia="黑体"/>
          <w:b/>
          <w:color w:val="000000"/>
          <w:sz w:val="32"/>
        </w:rPr>
        <w:t>4 质量与验收标准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rPr>
          <w:cantSplit/>
        </w:trPr>
        <w:tc>
          <w:tcPr>
            <w:tcW w:type="dxa" w:w="4536"/>
            <w:vAlign w:val="center"/>
            <w:shd w:val="clear" w:fill="F2F2F2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输出物</w:t>
            </w:r>
          </w:p>
        </w:tc>
        <w:tc>
          <w:tcPr>
            <w:tcW w:type="dxa" w:w="4536"/>
            <w:vAlign w:val="center"/>
            <w:shd w:val="clear" w:fill="F2F2F2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验收标准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典故解读</w:t>
            </w:r>
          </w:p>
        </w:tc>
        <w:tc>
          <w:tcPr>
            <w:tcW w:type="dxa" w:w="4536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有据可查、来源可溯、去糟粕取正统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场景</w:t>
            </w:r>
          </w:p>
        </w:tc>
        <w:tc>
          <w:tcPr>
            <w:tcW w:type="dxa" w:w="4536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国风统一、神圣静谧、无穿模畸形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诗词</w:t>
            </w:r>
          </w:p>
        </w:tc>
        <w:tc>
          <w:tcPr>
            <w:tcW w:type="dxa" w:w="4536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意境统一、通俗唯美、无生僻字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分镜</w:t>
            </w:r>
          </w:p>
        </w:tc>
        <w:tc>
          <w:tcPr>
            <w:tcW w:type="dxa" w:w="4536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镜头信息完整、节奏递进、可执行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成片</w:t>
            </w:r>
          </w:p>
        </w:tc>
        <w:tc>
          <w:tcPr>
            <w:tcW w:type="dxa" w:w="4536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风格一致、叙事连贯、确权完整</w:t>
            </w:r>
          </w:p>
        </w:tc>
      </w:tr>
    </w:tbl>
    <w:p>
      <w:pPr>
        <w:spacing w:before="280" w:after="120"/>
        <w:jc w:val="left"/>
      </w:pPr>
      <w:r>
        <w:rPr>
          <w:rFonts w:ascii="Times New Roman" w:hAnsi="Times New Roman" w:eastAsia="黑体"/>
          <w:b/>
          <w:color w:val="000000"/>
          <w:sz w:val="32"/>
        </w:rPr>
        <w:t>5 交付物与部署规范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部署：展示页与素材部署至官网 huodouai.com/gallery/，走云端SSH；对外展示同步推送魔搭/AtomGit。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归档：所有资产统一归档至ZONGYUAN-ROOT权威根目录，三层锁档（云盘/知识库/内核快照）。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上报：任务成果与真值全自动上报云端中枢联邦记忆池，写入共享大脑台账，实现「完成-锁档-推进」闭环。</w:t>
      </w:r>
    </w:p>
    <w:sectPr w:rsidR="00FC693F" w:rsidRPr="0006063C" w:rsidSect="00034616">
      <w:footerReference w:type="default" r:id="rId9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21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